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B1A" w:rsidRPr="007C296F" w:rsidRDefault="004B4210" w:rsidP="004B4210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</w:rPr>
      </w:pPr>
      <w:r w:rsidRPr="007C296F">
        <w:rPr>
          <w:rFonts w:ascii="TH Sarabun New" w:hAnsi="TH Sarabun New" w:cs="TH Sarabun New"/>
          <w:b/>
          <w:bCs/>
          <w:cs/>
        </w:rPr>
        <w:t>สรุปคะแนนประเมิน</w:t>
      </w:r>
      <w:r w:rsidR="000854AB" w:rsidRPr="007C296F">
        <w:rPr>
          <w:rFonts w:ascii="TH Sarabun New" w:hAnsi="TH Sarabun New" w:cs="TH Sarabun New"/>
          <w:b/>
          <w:bCs/>
          <w:cs/>
        </w:rPr>
        <w:t xml:space="preserve"> </w:t>
      </w:r>
      <w:r w:rsidR="000854AB" w:rsidRPr="007C296F">
        <w:rPr>
          <w:rFonts w:ascii="TH Sarabun New" w:hAnsi="TH Sarabun New" w:cs="TH Sarabun New"/>
          <w:b/>
          <w:bCs/>
        </w:rPr>
        <w:t>AUN QA</w:t>
      </w:r>
    </w:p>
    <w:p w:rsidR="004B4210" w:rsidRPr="007C296F" w:rsidRDefault="004B4210" w:rsidP="004B4210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</w:rPr>
      </w:pPr>
    </w:p>
    <w:tbl>
      <w:tblPr>
        <w:tblStyle w:val="TableGrid"/>
        <w:tblW w:w="9498" w:type="dxa"/>
        <w:tblInd w:w="-176" w:type="dxa"/>
        <w:tblLayout w:type="fixed"/>
        <w:tblLook w:val="04A0"/>
      </w:tblPr>
      <w:tblGrid>
        <w:gridCol w:w="710"/>
        <w:gridCol w:w="141"/>
        <w:gridCol w:w="4678"/>
        <w:gridCol w:w="567"/>
        <w:gridCol w:w="567"/>
        <w:gridCol w:w="567"/>
        <w:gridCol w:w="567"/>
        <w:gridCol w:w="567"/>
        <w:gridCol w:w="567"/>
        <w:gridCol w:w="567"/>
      </w:tblGrid>
      <w:tr w:rsidR="004B4210" w:rsidRPr="007C296F" w:rsidTr="00116CC5">
        <w:trPr>
          <w:trHeight w:val="375"/>
        </w:trPr>
        <w:tc>
          <w:tcPr>
            <w:tcW w:w="851" w:type="dxa"/>
            <w:gridSpan w:val="2"/>
            <w:shd w:val="clear" w:color="auto" w:fill="FDE9D9" w:themeFill="accent6" w:themeFillTint="33"/>
          </w:tcPr>
          <w:p w:rsidR="004B4210" w:rsidRPr="007C296F" w:rsidRDefault="004B4210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678" w:type="dxa"/>
            <w:shd w:val="clear" w:color="auto" w:fill="FDE9D9" w:themeFill="accent6" w:themeFillTint="33"/>
          </w:tcPr>
          <w:p w:rsidR="004B4210" w:rsidRPr="007C296F" w:rsidRDefault="004B4210" w:rsidP="000854A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Expected Learning Outcomes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4210" w:rsidRPr="007C296F" w:rsidRDefault="004B4210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4210" w:rsidRPr="007C296F" w:rsidRDefault="004B4210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4210" w:rsidRPr="007C296F" w:rsidRDefault="004B4210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4210" w:rsidRPr="007C296F" w:rsidRDefault="004B4210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4210" w:rsidRPr="007C296F" w:rsidRDefault="004B4210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4210" w:rsidRPr="007C296F" w:rsidRDefault="004B4210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4210" w:rsidRPr="007C296F" w:rsidRDefault="004B4210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7</w:t>
            </w:r>
          </w:p>
        </w:tc>
      </w:tr>
      <w:tr w:rsidR="00A8749F" w:rsidRPr="007C296F" w:rsidTr="00116CC5">
        <w:trPr>
          <w:trHeight w:val="360"/>
        </w:trPr>
        <w:tc>
          <w:tcPr>
            <w:tcW w:w="851" w:type="dxa"/>
            <w:gridSpan w:val="2"/>
          </w:tcPr>
          <w:p w:rsidR="00A8749F" w:rsidRPr="007C296F" w:rsidRDefault="00A8749F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1.1</w:t>
            </w:r>
          </w:p>
        </w:tc>
        <w:tc>
          <w:tcPr>
            <w:tcW w:w="4678" w:type="dxa"/>
          </w:tcPr>
          <w:p w:rsidR="00A8749F" w:rsidRPr="007C296F" w:rsidRDefault="00A8749F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The expected learning outcomes have been clearly formulated and aligned with the vision and mission of the university [1,2]</w:t>
            </w: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A8749F" w:rsidRPr="007C296F" w:rsidTr="00116CC5">
        <w:trPr>
          <w:trHeight w:val="360"/>
        </w:trPr>
        <w:tc>
          <w:tcPr>
            <w:tcW w:w="851" w:type="dxa"/>
            <w:gridSpan w:val="2"/>
          </w:tcPr>
          <w:p w:rsidR="00A8749F" w:rsidRPr="007C296F" w:rsidRDefault="00A8749F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1.2</w:t>
            </w:r>
          </w:p>
        </w:tc>
        <w:tc>
          <w:tcPr>
            <w:tcW w:w="4678" w:type="dxa"/>
          </w:tcPr>
          <w:p w:rsidR="00A8749F" w:rsidRPr="007C296F" w:rsidRDefault="00A8749F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The expected learning outcomes cover both subject specific and generic (i.e. transferable) learning outcomes [3]</w:t>
            </w: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A8749F" w:rsidRPr="007C296F" w:rsidTr="00116CC5">
        <w:trPr>
          <w:trHeight w:val="360"/>
        </w:trPr>
        <w:tc>
          <w:tcPr>
            <w:tcW w:w="851" w:type="dxa"/>
            <w:gridSpan w:val="2"/>
          </w:tcPr>
          <w:p w:rsidR="00A8749F" w:rsidRPr="007C296F" w:rsidRDefault="00A8749F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1.3</w:t>
            </w:r>
          </w:p>
        </w:tc>
        <w:tc>
          <w:tcPr>
            <w:tcW w:w="4678" w:type="dxa"/>
          </w:tcPr>
          <w:p w:rsidR="00A8749F" w:rsidRPr="007C296F" w:rsidRDefault="00A8749F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The expected learning outcomes clearly reflect the requirements of the stakeholders [4]</w:t>
            </w: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A8749F" w:rsidRPr="007C296F" w:rsidTr="00116CC5">
        <w:trPr>
          <w:trHeight w:val="375"/>
        </w:trPr>
        <w:tc>
          <w:tcPr>
            <w:tcW w:w="851" w:type="dxa"/>
            <w:gridSpan w:val="2"/>
          </w:tcPr>
          <w:p w:rsidR="00A8749F" w:rsidRPr="007C296F" w:rsidRDefault="00A8749F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</w:tcPr>
          <w:p w:rsidR="00A8749F" w:rsidRPr="007C296F" w:rsidRDefault="00A8749F" w:rsidP="007808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ระดับคะแนนในภาพรวม (</w:t>
            </w: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Overall opinion</w:t>
            </w: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4210" w:rsidRPr="007C296F" w:rsidTr="00116CC5">
        <w:trPr>
          <w:trHeight w:val="401"/>
        </w:trPr>
        <w:tc>
          <w:tcPr>
            <w:tcW w:w="851" w:type="dxa"/>
            <w:gridSpan w:val="2"/>
            <w:shd w:val="clear" w:color="auto" w:fill="FDE9D9" w:themeFill="accent6" w:themeFillTint="33"/>
          </w:tcPr>
          <w:p w:rsidR="004B4210" w:rsidRPr="007C296F" w:rsidRDefault="004B4210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678" w:type="dxa"/>
            <w:shd w:val="clear" w:color="auto" w:fill="FDE9D9" w:themeFill="accent6" w:themeFillTint="33"/>
          </w:tcPr>
          <w:p w:rsidR="004B4210" w:rsidRPr="007C296F" w:rsidRDefault="004B4210" w:rsidP="000854A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</w:rPr>
              <w:t>Programme Specification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4210" w:rsidRPr="007C296F" w:rsidRDefault="004B4210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4210" w:rsidRPr="007C296F" w:rsidRDefault="004B4210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4210" w:rsidRPr="007C296F" w:rsidRDefault="004B4210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4210" w:rsidRPr="007C296F" w:rsidRDefault="004B4210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4210" w:rsidRPr="007C296F" w:rsidRDefault="004B4210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4210" w:rsidRPr="007C296F" w:rsidRDefault="004B4210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4210" w:rsidRPr="007C296F" w:rsidRDefault="004B4210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7</w:t>
            </w:r>
          </w:p>
        </w:tc>
      </w:tr>
      <w:tr w:rsidR="00A8749F" w:rsidRPr="007C296F" w:rsidTr="00116CC5">
        <w:trPr>
          <w:trHeight w:val="385"/>
        </w:trPr>
        <w:tc>
          <w:tcPr>
            <w:tcW w:w="851" w:type="dxa"/>
            <w:gridSpan w:val="2"/>
          </w:tcPr>
          <w:p w:rsidR="00A8749F" w:rsidRPr="007C296F" w:rsidRDefault="00A8749F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2.1</w:t>
            </w:r>
          </w:p>
        </w:tc>
        <w:tc>
          <w:tcPr>
            <w:tcW w:w="4678" w:type="dxa"/>
          </w:tcPr>
          <w:p w:rsidR="00A8749F" w:rsidRPr="007C296F" w:rsidRDefault="00A8749F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The information in the programme specification is comprehensive and up-to-date [1, 2]</w:t>
            </w: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A8749F" w:rsidRPr="007C296F" w:rsidTr="00116CC5">
        <w:trPr>
          <w:trHeight w:val="385"/>
        </w:trPr>
        <w:tc>
          <w:tcPr>
            <w:tcW w:w="851" w:type="dxa"/>
            <w:gridSpan w:val="2"/>
          </w:tcPr>
          <w:p w:rsidR="00A8749F" w:rsidRPr="007C296F" w:rsidRDefault="00A8749F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2.2</w:t>
            </w:r>
          </w:p>
        </w:tc>
        <w:tc>
          <w:tcPr>
            <w:tcW w:w="4678" w:type="dxa"/>
          </w:tcPr>
          <w:p w:rsidR="00A8749F" w:rsidRPr="007C296F" w:rsidRDefault="00A8749F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The information in the course specification is</w:t>
            </w:r>
          </w:p>
          <w:p w:rsidR="00A8749F" w:rsidRPr="007C296F" w:rsidRDefault="00A8749F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comprehensive and up-to-date [1, 2]</w:t>
            </w: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A8749F" w:rsidRPr="007C296F" w:rsidTr="00116CC5">
        <w:trPr>
          <w:trHeight w:val="385"/>
        </w:trPr>
        <w:tc>
          <w:tcPr>
            <w:tcW w:w="851" w:type="dxa"/>
            <w:gridSpan w:val="2"/>
          </w:tcPr>
          <w:p w:rsidR="00A8749F" w:rsidRPr="007C296F" w:rsidRDefault="00A8749F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2.3</w:t>
            </w:r>
          </w:p>
        </w:tc>
        <w:tc>
          <w:tcPr>
            <w:tcW w:w="4678" w:type="dxa"/>
          </w:tcPr>
          <w:p w:rsidR="00A8749F" w:rsidRPr="007C296F" w:rsidRDefault="00A8749F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The programme and course specifications are communicated and made available to the stakeholders [1, 2]</w:t>
            </w: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A8749F" w:rsidRPr="007C296F" w:rsidTr="00116CC5">
        <w:trPr>
          <w:trHeight w:val="401"/>
        </w:trPr>
        <w:tc>
          <w:tcPr>
            <w:tcW w:w="851" w:type="dxa"/>
            <w:gridSpan w:val="2"/>
          </w:tcPr>
          <w:p w:rsidR="00A8749F" w:rsidRPr="007C296F" w:rsidRDefault="00A8749F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</w:tcPr>
          <w:p w:rsidR="00A8749F" w:rsidRPr="007C296F" w:rsidRDefault="00A8749F" w:rsidP="007808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ระดับคะแนนในภาพรวม (</w:t>
            </w: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Overall opinion</w:t>
            </w: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0854AB" w:rsidRPr="007C296F" w:rsidTr="00116CC5">
        <w:trPr>
          <w:trHeight w:val="401"/>
        </w:trPr>
        <w:tc>
          <w:tcPr>
            <w:tcW w:w="851" w:type="dxa"/>
            <w:gridSpan w:val="2"/>
            <w:shd w:val="clear" w:color="auto" w:fill="FDE9D9" w:themeFill="accent6" w:themeFillTint="33"/>
          </w:tcPr>
          <w:p w:rsidR="004B4210" w:rsidRPr="007C296F" w:rsidRDefault="004B4210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678" w:type="dxa"/>
            <w:shd w:val="clear" w:color="auto" w:fill="FDE9D9" w:themeFill="accent6" w:themeFillTint="33"/>
          </w:tcPr>
          <w:p w:rsidR="004B4210" w:rsidRPr="007C296F" w:rsidRDefault="004B4210" w:rsidP="00085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b/>
                <w:bCs/>
                <w:sz w:val="20"/>
                <w:szCs w:val="20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Programme Structure and Content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4210" w:rsidRPr="007C296F" w:rsidRDefault="004B4210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4210" w:rsidRPr="007C296F" w:rsidRDefault="004B4210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4210" w:rsidRPr="007C296F" w:rsidRDefault="004B4210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4210" w:rsidRPr="007C296F" w:rsidRDefault="004B4210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4210" w:rsidRPr="007C296F" w:rsidRDefault="004B4210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4210" w:rsidRPr="007C296F" w:rsidRDefault="004B4210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4210" w:rsidRPr="007C296F" w:rsidRDefault="004B4210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7</w:t>
            </w:r>
          </w:p>
        </w:tc>
      </w:tr>
      <w:tr w:rsidR="00A8749F" w:rsidRPr="007C296F" w:rsidTr="00116CC5">
        <w:trPr>
          <w:trHeight w:val="385"/>
        </w:trPr>
        <w:tc>
          <w:tcPr>
            <w:tcW w:w="851" w:type="dxa"/>
            <w:gridSpan w:val="2"/>
          </w:tcPr>
          <w:p w:rsidR="00A8749F" w:rsidRPr="007C296F" w:rsidRDefault="00A8749F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3.1</w:t>
            </w:r>
          </w:p>
        </w:tc>
        <w:tc>
          <w:tcPr>
            <w:tcW w:w="4678" w:type="dxa"/>
          </w:tcPr>
          <w:p w:rsidR="00A8749F" w:rsidRPr="007C296F" w:rsidRDefault="00A8749F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The curriculum is designed based on constructive alignment with the expected learning outcomes [1]</w:t>
            </w: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A8749F" w:rsidRPr="007C296F" w:rsidTr="00116CC5">
        <w:trPr>
          <w:trHeight w:val="385"/>
        </w:trPr>
        <w:tc>
          <w:tcPr>
            <w:tcW w:w="851" w:type="dxa"/>
            <w:gridSpan w:val="2"/>
          </w:tcPr>
          <w:p w:rsidR="00A8749F" w:rsidRPr="007C296F" w:rsidRDefault="00A8749F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3.2</w:t>
            </w:r>
          </w:p>
        </w:tc>
        <w:tc>
          <w:tcPr>
            <w:tcW w:w="4678" w:type="dxa"/>
          </w:tcPr>
          <w:p w:rsidR="00A8749F" w:rsidRPr="007C296F" w:rsidRDefault="00A8749F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The contribution made by each course to achieve the expected learning outcomes is clear [2]</w:t>
            </w: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390EE7">
            <w:pPr>
              <w:jc w:val="center"/>
              <w:rPr>
                <w:rFonts w:ascii="TH Sarabun New" w:hAnsi="TH Sarabun New" w:cs="TH Sarabun New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A8749F" w:rsidRPr="007C296F" w:rsidTr="00116CC5">
        <w:trPr>
          <w:trHeight w:val="385"/>
        </w:trPr>
        <w:tc>
          <w:tcPr>
            <w:tcW w:w="851" w:type="dxa"/>
            <w:gridSpan w:val="2"/>
          </w:tcPr>
          <w:p w:rsidR="00A8749F" w:rsidRPr="007C296F" w:rsidRDefault="00A8749F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3.3</w:t>
            </w:r>
          </w:p>
        </w:tc>
        <w:tc>
          <w:tcPr>
            <w:tcW w:w="4678" w:type="dxa"/>
          </w:tcPr>
          <w:p w:rsidR="00A8749F" w:rsidRPr="007C296F" w:rsidRDefault="00A8749F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The curriculum is logically structured, sequenced, integrated and up-to-date [3, 4, 5, 6]</w:t>
            </w: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390EE7">
            <w:pPr>
              <w:jc w:val="center"/>
              <w:rPr>
                <w:rFonts w:ascii="TH Sarabun New" w:hAnsi="TH Sarabun New" w:cs="TH Sarabun New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A8749F" w:rsidRPr="007C296F" w:rsidTr="00116CC5">
        <w:trPr>
          <w:trHeight w:val="401"/>
        </w:trPr>
        <w:tc>
          <w:tcPr>
            <w:tcW w:w="851" w:type="dxa"/>
            <w:gridSpan w:val="2"/>
          </w:tcPr>
          <w:p w:rsidR="00A8749F" w:rsidRPr="007C296F" w:rsidRDefault="00A8749F" w:rsidP="00A8749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</w:tcPr>
          <w:p w:rsidR="00A8749F" w:rsidRPr="007C296F" w:rsidRDefault="00A8749F" w:rsidP="00A874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ระดับคะแนนในภาพรวม (</w:t>
            </w: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Overall opinion</w:t>
            </w: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67" w:type="dxa"/>
          </w:tcPr>
          <w:p w:rsidR="00A8749F" w:rsidRPr="007C296F" w:rsidRDefault="00A8749F" w:rsidP="00A8749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A8749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A8749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A8749F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A8749F" w:rsidRPr="007C296F" w:rsidRDefault="00A8749F" w:rsidP="00A8749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A8749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A8749F" w:rsidRPr="007C296F" w:rsidRDefault="00A8749F" w:rsidP="00A8749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0854AB" w:rsidRPr="007C296F" w:rsidTr="00116CC5">
        <w:trPr>
          <w:trHeight w:val="401"/>
        </w:trPr>
        <w:tc>
          <w:tcPr>
            <w:tcW w:w="851" w:type="dxa"/>
            <w:gridSpan w:val="2"/>
            <w:shd w:val="clear" w:color="auto" w:fill="FDE9D9" w:themeFill="accent6" w:themeFillTint="33"/>
          </w:tcPr>
          <w:p w:rsidR="004B4210" w:rsidRPr="007C296F" w:rsidRDefault="004B4210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678" w:type="dxa"/>
            <w:shd w:val="clear" w:color="auto" w:fill="FDE9D9" w:themeFill="accent6" w:themeFillTint="33"/>
          </w:tcPr>
          <w:p w:rsidR="004B4210" w:rsidRPr="007C296F" w:rsidRDefault="004B4210" w:rsidP="00085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b/>
                <w:bCs/>
                <w:sz w:val="20"/>
                <w:szCs w:val="20"/>
              </w:rPr>
            </w:pPr>
            <w:r w:rsidRPr="007C296F">
              <w:rPr>
                <w:rFonts w:ascii="TH Sarabun New" w:hAnsi="TH Sarabun New" w:cs="TH Sarabun New"/>
                <w:b/>
                <w:bCs/>
              </w:rPr>
              <w:t>Teaching and Learning Approach</w:t>
            </w: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Pr="007C296F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 xml:space="preserve"> 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4210" w:rsidRPr="007C296F" w:rsidRDefault="004B4210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4210" w:rsidRPr="007C296F" w:rsidRDefault="004B4210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4210" w:rsidRPr="007C296F" w:rsidRDefault="004B4210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4210" w:rsidRPr="007C296F" w:rsidRDefault="004B4210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4210" w:rsidRPr="007C296F" w:rsidRDefault="004B4210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4210" w:rsidRPr="007C296F" w:rsidRDefault="004B4210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4210" w:rsidRPr="007C296F" w:rsidRDefault="004B4210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7</w:t>
            </w:r>
          </w:p>
        </w:tc>
      </w:tr>
      <w:tr w:rsidR="004B63E9" w:rsidRPr="007C296F" w:rsidTr="00116CC5">
        <w:trPr>
          <w:trHeight w:val="385"/>
        </w:trPr>
        <w:tc>
          <w:tcPr>
            <w:tcW w:w="851" w:type="dxa"/>
            <w:gridSpan w:val="2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4.1</w:t>
            </w:r>
          </w:p>
        </w:tc>
        <w:tc>
          <w:tcPr>
            <w:tcW w:w="4678" w:type="dxa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The educational philosophy is well articulated and communicated to all stakeholders [1]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2E453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85"/>
        </w:trPr>
        <w:tc>
          <w:tcPr>
            <w:tcW w:w="851" w:type="dxa"/>
            <w:gridSpan w:val="2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4.2</w:t>
            </w:r>
          </w:p>
        </w:tc>
        <w:tc>
          <w:tcPr>
            <w:tcW w:w="4678" w:type="dxa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Teaching and learning activities are constructively aligned to the achievement of the expected learning outcomes [2, 3, 4, 5]</w:t>
            </w:r>
          </w:p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2E453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0854AB" w:rsidRPr="007C296F" w:rsidTr="00116CC5">
        <w:trPr>
          <w:trHeight w:val="385"/>
        </w:trPr>
        <w:tc>
          <w:tcPr>
            <w:tcW w:w="851" w:type="dxa"/>
            <w:gridSpan w:val="2"/>
            <w:shd w:val="clear" w:color="auto" w:fill="FDE9D9" w:themeFill="accent6" w:themeFillTint="33"/>
          </w:tcPr>
          <w:p w:rsidR="000854AB" w:rsidRPr="007C296F" w:rsidRDefault="000854AB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FDE9D9" w:themeFill="accent6" w:themeFillTint="33"/>
          </w:tcPr>
          <w:p w:rsidR="000854AB" w:rsidRPr="007C296F" w:rsidRDefault="000854AB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0854AB" w:rsidRPr="007C296F" w:rsidRDefault="000854AB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0854AB" w:rsidRPr="007C296F" w:rsidRDefault="000854AB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0854AB" w:rsidRPr="007C296F" w:rsidRDefault="000854AB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0854AB" w:rsidRPr="007C296F" w:rsidRDefault="000854AB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0854AB" w:rsidRPr="007C296F" w:rsidRDefault="000854AB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0854AB" w:rsidRPr="007C296F" w:rsidRDefault="000854AB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0854AB" w:rsidRPr="007C296F" w:rsidRDefault="000854AB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7</w:t>
            </w:r>
          </w:p>
        </w:tc>
      </w:tr>
      <w:tr w:rsidR="004B63E9" w:rsidRPr="007C296F" w:rsidTr="00116CC5">
        <w:trPr>
          <w:trHeight w:val="385"/>
        </w:trPr>
        <w:tc>
          <w:tcPr>
            <w:tcW w:w="851" w:type="dxa"/>
            <w:gridSpan w:val="2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4.3</w:t>
            </w:r>
          </w:p>
        </w:tc>
        <w:tc>
          <w:tcPr>
            <w:tcW w:w="4678" w:type="dxa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 xml:space="preserve">Teaching and learning activities enhance </w:t>
            </w:r>
            <w:r w:rsidRPr="007C296F">
              <w:rPr>
                <w:rFonts w:ascii="TH Sarabun New" w:hAnsi="TH Sarabun New" w:cs="TH Sarabun New"/>
                <w:sz w:val="28"/>
                <w:szCs w:val="28"/>
              </w:rPr>
              <w:br/>
              <w:t>life-long learning [6]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2E453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401"/>
        </w:trPr>
        <w:tc>
          <w:tcPr>
            <w:tcW w:w="851" w:type="dxa"/>
            <w:gridSpan w:val="2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ระดับคะแนนในภาพรวม (</w:t>
            </w: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Overall opinion</w:t>
            </w: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80"/>
        </w:trPr>
        <w:tc>
          <w:tcPr>
            <w:tcW w:w="851" w:type="dxa"/>
            <w:gridSpan w:val="2"/>
            <w:shd w:val="clear" w:color="auto" w:fill="FDE9D9" w:themeFill="accent6" w:themeFillTint="33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678" w:type="dxa"/>
            <w:shd w:val="clear" w:color="auto" w:fill="FDE9D9" w:themeFill="accent6" w:themeFillTint="33"/>
          </w:tcPr>
          <w:p w:rsidR="004B63E9" w:rsidRPr="007C296F" w:rsidRDefault="004B63E9" w:rsidP="000854A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Student Assessment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7</w:t>
            </w:r>
          </w:p>
        </w:tc>
      </w:tr>
      <w:tr w:rsidR="007061B7" w:rsidRPr="007C296F" w:rsidTr="00116CC5">
        <w:trPr>
          <w:trHeight w:val="365"/>
        </w:trPr>
        <w:tc>
          <w:tcPr>
            <w:tcW w:w="851" w:type="dxa"/>
            <w:gridSpan w:val="2"/>
          </w:tcPr>
          <w:p w:rsidR="007061B7" w:rsidRPr="007C296F" w:rsidRDefault="007061B7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5.1</w:t>
            </w:r>
          </w:p>
        </w:tc>
        <w:tc>
          <w:tcPr>
            <w:tcW w:w="4678" w:type="dxa"/>
          </w:tcPr>
          <w:p w:rsidR="007061B7" w:rsidRPr="007C296F" w:rsidRDefault="007061B7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The student assessment is constructively aligned to the achievement of the expected learning outcomes [1, 2]</w:t>
            </w:r>
          </w:p>
        </w:tc>
        <w:tc>
          <w:tcPr>
            <w:tcW w:w="567" w:type="dxa"/>
          </w:tcPr>
          <w:p w:rsidR="007061B7" w:rsidRPr="007C296F" w:rsidRDefault="007061B7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061B7" w:rsidRPr="007C296F" w:rsidRDefault="007061B7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061B7" w:rsidRPr="007C296F" w:rsidRDefault="007061B7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7061B7" w:rsidRPr="007C296F" w:rsidRDefault="007061B7" w:rsidP="00912A63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7061B7" w:rsidRPr="007C296F" w:rsidRDefault="007061B7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061B7" w:rsidRPr="007C296F" w:rsidRDefault="007061B7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061B7" w:rsidRPr="007C296F" w:rsidRDefault="007061B7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7061B7" w:rsidRPr="007C296F" w:rsidTr="00116CC5">
        <w:trPr>
          <w:trHeight w:val="365"/>
        </w:trPr>
        <w:tc>
          <w:tcPr>
            <w:tcW w:w="851" w:type="dxa"/>
            <w:gridSpan w:val="2"/>
          </w:tcPr>
          <w:p w:rsidR="007061B7" w:rsidRPr="007C296F" w:rsidRDefault="007061B7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5.2</w:t>
            </w:r>
          </w:p>
        </w:tc>
        <w:tc>
          <w:tcPr>
            <w:tcW w:w="4678" w:type="dxa"/>
          </w:tcPr>
          <w:p w:rsidR="007061B7" w:rsidRPr="007C296F" w:rsidRDefault="007061B7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The student assessments including timelines,</w:t>
            </w:r>
          </w:p>
          <w:p w:rsidR="007061B7" w:rsidRPr="007C296F" w:rsidRDefault="007061B7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methods, regulations, weight distribution, rubrics and grading are explicit and communicated to students [4, 5]</w:t>
            </w:r>
          </w:p>
        </w:tc>
        <w:tc>
          <w:tcPr>
            <w:tcW w:w="567" w:type="dxa"/>
          </w:tcPr>
          <w:p w:rsidR="007061B7" w:rsidRPr="007C296F" w:rsidRDefault="007061B7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061B7" w:rsidRPr="007C296F" w:rsidRDefault="007061B7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061B7" w:rsidRPr="007C296F" w:rsidRDefault="007061B7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7061B7" w:rsidRPr="007C296F" w:rsidRDefault="007061B7" w:rsidP="00912A63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7061B7" w:rsidRPr="007C296F" w:rsidRDefault="007061B7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061B7" w:rsidRPr="007C296F" w:rsidRDefault="007061B7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061B7" w:rsidRPr="007C296F" w:rsidRDefault="007061B7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7061B7" w:rsidRPr="007C296F" w:rsidTr="00116CC5">
        <w:trPr>
          <w:trHeight w:val="365"/>
        </w:trPr>
        <w:tc>
          <w:tcPr>
            <w:tcW w:w="851" w:type="dxa"/>
            <w:gridSpan w:val="2"/>
          </w:tcPr>
          <w:p w:rsidR="007061B7" w:rsidRPr="007C296F" w:rsidRDefault="007061B7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5.3</w:t>
            </w:r>
          </w:p>
        </w:tc>
        <w:tc>
          <w:tcPr>
            <w:tcW w:w="4678" w:type="dxa"/>
          </w:tcPr>
          <w:p w:rsidR="007061B7" w:rsidRPr="007C296F" w:rsidRDefault="007061B7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Methods including assessment rubrics and</w:t>
            </w:r>
          </w:p>
          <w:p w:rsidR="007061B7" w:rsidRPr="007C296F" w:rsidRDefault="007061B7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marking schemes are used to ensure validity,</w:t>
            </w:r>
          </w:p>
          <w:p w:rsidR="007061B7" w:rsidRPr="007C296F" w:rsidRDefault="007061B7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 xml:space="preserve">reliability and fairness of student assessment </w:t>
            </w:r>
            <w:r w:rsidRPr="007C296F">
              <w:rPr>
                <w:rFonts w:ascii="TH Sarabun New" w:hAnsi="TH Sarabun New" w:cs="TH Sarabun New"/>
                <w:sz w:val="28"/>
                <w:szCs w:val="28"/>
              </w:rPr>
              <w:br/>
              <w:t>[6,7]</w:t>
            </w:r>
          </w:p>
        </w:tc>
        <w:tc>
          <w:tcPr>
            <w:tcW w:w="567" w:type="dxa"/>
          </w:tcPr>
          <w:p w:rsidR="007061B7" w:rsidRPr="007C296F" w:rsidRDefault="007061B7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061B7" w:rsidRPr="007C296F" w:rsidRDefault="007061B7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061B7" w:rsidRPr="007C296F" w:rsidRDefault="007061B7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7061B7" w:rsidRPr="007C296F" w:rsidRDefault="007061B7" w:rsidP="00912A63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7061B7" w:rsidRPr="007C296F" w:rsidRDefault="007061B7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061B7" w:rsidRPr="007C296F" w:rsidRDefault="007061B7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061B7" w:rsidRPr="007C296F" w:rsidRDefault="007061B7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7061B7" w:rsidRPr="007C296F" w:rsidTr="00116CC5">
        <w:trPr>
          <w:trHeight w:val="365"/>
        </w:trPr>
        <w:tc>
          <w:tcPr>
            <w:tcW w:w="851" w:type="dxa"/>
            <w:gridSpan w:val="2"/>
          </w:tcPr>
          <w:p w:rsidR="007061B7" w:rsidRPr="007C296F" w:rsidRDefault="007061B7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5.4</w:t>
            </w:r>
          </w:p>
        </w:tc>
        <w:tc>
          <w:tcPr>
            <w:tcW w:w="4678" w:type="dxa"/>
          </w:tcPr>
          <w:p w:rsidR="007061B7" w:rsidRPr="007C296F" w:rsidRDefault="007061B7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Feedback of student assessment is timely and</w:t>
            </w:r>
          </w:p>
          <w:p w:rsidR="007061B7" w:rsidRPr="007C296F" w:rsidRDefault="007061B7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helps to improve learning [3]</w:t>
            </w:r>
          </w:p>
        </w:tc>
        <w:tc>
          <w:tcPr>
            <w:tcW w:w="567" w:type="dxa"/>
          </w:tcPr>
          <w:p w:rsidR="007061B7" w:rsidRPr="007C296F" w:rsidRDefault="007061B7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061B7" w:rsidRPr="007C296F" w:rsidRDefault="007061B7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061B7" w:rsidRPr="007C296F" w:rsidRDefault="007061B7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7061B7" w:rsidRPr="007C296F" w:rsidRDefault="007061B7" w:rsidP="00912A63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7061B7" w:rsidRPr="007C296F" w:rsidRDefault="007061B7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061B7" w:rsidRPr="007C296F" w:rsidRDefault="007061B7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061B7" w:rsidRPr="007C296F" w:rsidRDefault="007061B7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7061B7" w:rsidRPr="007C296F" w:rsidTr="00116CC5">
        <w:trPr>
          <w:trHeight w:val="873"/>
        </w:trPr>
        <w:tc>
          <w:tcPr>
            <w:tcW w:w="851" w:type="dxa"/>
            <w:gridSpan w:val="2"/>
          </w:tcPr>
          <w:p w:rsidR="007061B7" w:rsidRPr="007C296F" w:rsidRDefault="007061B7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5.5</w:t>
            </w:r>
          </w:p>
        </w:tc>
        <w:tc>
          <w:tcPr>
            <w:tcW w:w="4678" w:type="dxa"/>
          </w:tcPr>
          <w:p w:rsidR="007061B7" w:rsidRPr="007C296F" w:rsidRDefault="007061B7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Students have ready access to appeal procedure [8]</w:t>
            </w:r>
          </w:p>
        </w:tc>
        <w:tc>
          <w:tcPr>
            <w:tcW w:w="567" w:type="dxa"/>
          </w:tcPr>
          <w:p w:rsidR="007061B7" w:rsidRPr="007C296F" w:rsidRDefault="007061B7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061B7" w:rsidRPr="007C296F" w:rsidRDefault="007061B7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061B7" w:rsidRPr="007C296F" w:rsidRDefault="007061B7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7061B7" w:rsidRPr="007C296F" w:rsidRDefault="007061B7" w:rsidP="00912A63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7061B7" w:rsidRPr="007C296F" w:rsidRDefault="007061B7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061B7" w:rsidRPr="007C296F" w:rsidRDefault="007061B7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061B7" w:rsidRPr="007C296F" w:rsidRDefault="007061B7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80"/>
        </w:trPr>
        <w:tc>
          <w:tcPr>
            <w:tcW w:w="851" w:type="dxa"/>
            <w:gridSpan w:val="2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ระดับคะแนนในภาพรวม (</w:t>
            </w: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Overall opinion</w:t>
            </w: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7061B7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75"/>
        </w:trPr>
        <w:tc>
          <w:tcPr>
            <w:tcW w:w="851" w:type="dxa"/>
            <w:gridSpan w:val="2"/>
            <w:shd w:val="clear" w:color="auto" w:fill="FDE9D9" w:themeFill="accent6" w:themeFillTint="33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678" w:type="dxa"/>
            <w:shd w:val="clear" w:color="auto" w:fill="FDE9D9" w:themeFill="accent6" w:themeFillTint="33"/>
          </w:tcPr>
          <w:p w:rsidR="004B63E9" w:rsidRPr="007C296F" w:rsidRDefault="004B63E9" w:rsidP="00141CF4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Academic Staff Quality  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7</w:t>
            </w:r>
          </w:p>
        </w:tc>
      </w:tr>
      <w:tr w:rsidR="004B63E9" w:rsidRPr="007C296F" w:rsidTr="00116CC5">
        <w:trPr>
          <w:trHeight w:val="360"/>
        </w:trPr>
        <w:tc>
          <w:tcPr>
            <w:tcW w:w="851" w:type="dxa"/>
            <w:gridSpan w:val="2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6.1</w:t>
            </w:r>
          </w:p>
        </w:tc>
        <w:tc>
          <w:tcPr>
            <w:tcW w:w="4678" w:type="dxa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Academic staff planning (considering succession, promotion, re-deployment, termination, and retirement) is carried out to fulfill the needs for education, research and service [1]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60"/>
        </w:trPr>
        <w:tc>
          <w:tcPr>
            <w:tcW w:w="851" w:type="dxa"/>
            <w:gridSpan w:val="2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6.2</w:t>
            </w:r>
          </w:p>
        </w:tc>
        <w:tc>
          <w:tcPr>
            <w:tcW w:w="4678" w:type="dxa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Staff-to-student ratio and workload are measured and monitored to improve the quality of education, research and service [2]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60"/>
        </w:trPr>
        <w:tc>
          <w:tcPr>
            <w:tcW w:w="851" w:type="dxa"/>
            <w:gridSpan w:val="2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6.3</w:t>
            </w:r>
          </w:p>
        </w:tc>
        <w:tc>
          <w:tcPr>
            <w:tcW w:w="4678" w:type="dxa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Recruitment and selection criteria including ethics and academic freedom for appointment,</w:t>
            </w:r>
          </w:p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deployment and promotion are determined and communicated [4, 5, 6, 7]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60"/>
        </w:trPr>
        <w:tc>
          <w:tcPr>
            <w:tcW w:w="851" w:type="dxa"/>
            <w:gridSpan w:val="2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6.4</w:t>
            </w:r>
          </w:p>
        </w:tc>
        <w:tc>
          <w:tcPr>
            <w:tcW w:w="4678" w:type="dxa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Competences of academic staff are identified and evaluated [3]</w:t>
            </w:r>
          </w:p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60"/>
        </w:trPr>
        <w:tc>
          <w:tcPr>
            <w:tcW w:w="851" w:type="dxa"/>
            <w:gridSpan w:val="2"/>
            <w:shd w:val="clear" w:color="auto" w:fill="FDE9D9" w:themeFill="accent6" w:themeFillTint="33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7</w:t>
            </w:r>
          </w:p>
        </w:tc>
      </w:tr>
      <w:tr w:rsidR="004B63E9" w:rsidRPr="007C296F" w:rsidTr="00116CC5">
        <w:trPr>
          <w:trHeight w:val="360"/>
        </w:trPr>
        <w:tc>
          <w:tcPr>
            <w:tcW w:w="851" w:type="dxa"/>
            <w:gridSpan w:val="2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6.5</w:t>
            </w:r>
          </w:p>
        </w:tc>
        <w:tc>
          <w:tcPr>
            <w:tcW w:w="4678" w:type="dxa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Training and developmental needs of academic</w:t>
            </w:r>
          </w:p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staff are identified and activities are implemented to fulfil them [8]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60"/>
        </w:trPr>
        <w:tc>
          <w:tcPr>
            <w:tcW w:w="851" w:type="dxa"/>
            <w:gridSpan w:val="2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6.6</w:t>
            </w:r>
          </w:p>
        </w:tc>
        <w:tc>
          <w:tcPr>
            <w:tcW w:w="4678" w:type="dxa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Performance management including rewards and recognition is implemented to motivate and support education, research and service [9]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60"/>
        </w:trPr>
        <w:tc>
          <w:tcPr>
            <w:tcW w:w="851" w:type="dxa"/>
            <w:gridSpan w:val="2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6.7</w:t>
            </w:r>
          </w:p>
        </w:tc>
        <w:tc>
          <w:tcPr>
            <w:tcW w:w="4678" w:type="dxa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The types and quantity of research activities by</w:t>
            </w:r>
          </w:p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academic staff are established, monitored and</w:t>
            </w:r>
          </w:p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benchmarked for improvement [10]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75"/>
        </w:trPr>
        <w:tc>
          <w:tcPr>
            <w:tcW w:w="851" w:type="dxa"/>
            <w:gridSpan w:val="2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ระดับคะแนนในภาพรวม (</w:t>
            </w: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Overall opinion</w:t>
            </w: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75"/>
        </w:trPr>
        <w:tc>
          <w:tcPr>
            <w:tcW w:w="851" w:type="dxa"/>
            <w:gridSpan w:val="2"/>
            <w:shd w:val="clear" w:color="auto" w:fill="FDE9D9" w:themeFill="accent6" w:themeFillTint="33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678" w:type="dxa"/>
            <w:shd w:val="clear" w:color="auto" w:fill="FDE9D9" w:themeFill="accent6" w:themeFillTint="33"/>
          </w:tcPr>
          <w:p w:rsidR="004B63E9" w:rsidRPr="007C296F" w:rsidRDefault="004B63E9" w:rsidP="00141CF4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Support Staff Quality  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7</w:t>
            </w:r>
          </w:p>
        </w:tc>
      </w:tr>
      <w:tr w:rsidR="004B63E9" w:rsidRPr="007C296F" w:rsidTr="00116CC5">
        <w:trPr>
          <w:trHeight w:val="360"/>
        </w:trPr>
        <w:tc>
          <w:tcPr>
            <w:tcW w:w="851" w:type="dxa"/>
            <w:gridSpan w:val="2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7.1</w:t>
            </w:r>
          </w:p>
        </w:tc>
        <w:tc>
          <w:tcPr>
            <w:tcW w:w="4678" w:type="dxa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Support staff planning (at the library, laboratory, IT facility and student services) is carried out to fulfil the needs for education, research and service [1]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60"/>
        </w:trPr>
        <w:tc>
          <w:tcPr>
            <w:tcW w:w="851" w:type="dxa"/>
            <w:gridSpan w:val="2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7.2</w:t>
            </w:r>
          </w:p>
        </w:tc>
        <w:tc>
          <w:tcPr>
            <w:tcW w:w="4678" w:type="dxa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Recruitment and selection criteria for</w:t>
            </w:r>
          </w:p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appointment, deployment and promotion are</w:t>
            </w:r>
          </w:p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determined and communicated [2]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60"/>
        </w:trPr>
        <w:tc>
          <w:tcPr>
            <w:tcW w:w="851" w:type="dxa"/>
            <w:gridSpan w:val="2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7.3</w:t>
            </w:r>
          </w:p>
        </w:tc>
        <w:tc>
          <w:tcPr>
            <w:tcW w:w="4678" w:type="dxa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Competences of support staff are identified and evaluated [3]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60"/>
        </w:trPr>
        <w:tc>
          <w:tcPr>
            <w:tcW w:w="851" w:type="dxa"/>
            <w:gridSpan w:val="2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7.4</w:t>
            </w:r>
          </w:p>
        </w:tc>
        <w:tc>
          <w:tcPr>
            <w:tcW w:w="4678" w:type="dxa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Training and developmental needs of support staff are identified and activities are implemented to fulfil them [4]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60"/>
        </w:trPr>
        <w:tc>
          <w:tcPr>
            <w:tcW w:w="851" w:type="dxa"/>
            <w:gridSpan w:val="2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7.5</w:t>
            </w:r>
          </w:p>
        </w:tc>
        <w:tc>
          <w:tcPr>
            <w:tcW w:w="4678" w:type="dxa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Performance management including rewards and recognition is implemented to motivate and support education, research and service [5]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75"/>
        </w:trPr>
        <w:tc>
          <w:tcPr>
            <w:tcW w:w="851" w:type="dxa"/>
            <w:gridSpan w:val="2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ระดับคะแนนในภาพรวม (</w:t>
            </w: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Overall opinion</w:t>
            </w: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97"/>
        </w:trPr>
        <w:tc>
          <w:tcPr>
            <w:tcW w:w="710" w:type="dxa"/>
            <w:shd w:val="clear" w:color="auto" w:fill="FDE9D9" w:themeFill="accent6" w:themeFillTint="33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819" w:type="dxa"/>
            <w:gridSpan w:val="2"/>
            <w:shd w:val="clear" w:color="auto" w:fill="FDE9D9" w:themeFill="accent6" w:themeFillTint="33"/>
          </w:tcPr>
          <w:p w:rsidR="004B63E9" w:rsidRPr="007C296F" w:rsidRDefault="004B63E9" w:rsidP="00141C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b/>
                <w:bCs/>
                <w:sz w:val="20"/>
                <w:szCs w:val="20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Student Quality and Support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7</w:t>
            </w:r>
          </w:p>
        </w:tc>
      </w:tr>
      <w:tr w:rsidR="004B63E9" w:rsidRPr="007C296F" w:rsidTr="00116CC5">
        <w:trPr>
          <w:trHeight w:val="381"/>
        </w:trPr>
        <w:tc>
          <w:tcPr>
            <w:tcW w:w="710" w:type="dxa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8.1</w:t>
            </w:r>
          </w:p>
        </w:tc>
        <w:tc>
          <w:tcPr>
            <w:tcW w:w="4819" w:type="dxa"/>
            <w:gridSpan w:val="2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The student intake policy and admission criteria</w:t>
            </w:r>
          </w:p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are defined, communicated, published, and up-to-date [1]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81"/>
        </w:trPr>
        <w:tc>
          <w:tcPr>
            <w:tcW w:w="710" w:type="dxa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8.2</w:t>
            </w:r>
          </w:p>
        </w:tc>
        <w:tc>
          <w:tcPr>
            <w:tcW w:w="4819" w:type="dxa"/>
            <w:gridSpan w:val="2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The methods and criteria for the selection of</w:t>
            </w:r>
          </w:p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students are determined and evaluated [2]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81"/>
        </w:trPr>
        <w:tc>
          <w:tcPr>
            <w:tcW w:w="710" w:type="dxa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8.3</w:t>
            </w:r>
          </w:p>
        </w:tc>
        <w:tc>
          <w:tcPr>
            <w:tcW w:w="4819" w:type="dxa"/>
            <w:gridSpan w:val="2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There is an adequate monitoring system for</w:t>
            </w:r>
          </w:p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student progress, academic performance, and</w:t>
            </w:r>
          </w:p>
          <w:p w:rsidR="004B63E9" w:rsidRPr="007C296F" w:rsidRDefault="004B63E9" w:rsidP="00116CC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workload [3]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81"/>
        </w:trPr>
        <w:tc>
          <w:tcPr>
            <w:tcW w:w="710" w:type="dxa"/>
            <w:shd w:val="clear" w:color="auto" w:fill="FDE9D9" w:themeFill="accent6" w:themeFillTint="33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4819" w:type="dxa"/>
            <w:gridSpan w:val="2"/>
            <w:shd w:val="clear" w:color="auto" w:fill="FDE9D9" w:themeFill="accent6" w:themeFillTint="33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7</w:t>
            </w:r>
          </w:p>
        </w:tc>
      </w:tr>
      <w:tr w:rsidR="004B63E9" w:rsidRPr="007C296F" w:rsidTr="00116CC5">
        <w:trPr>
          <w:trHeight w:val="381"/>
        </w:trPr>
        <w:tc>
          <w:tcPr>
            <w:tcW w:w="710" w:type="dxa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8.4</w:t>
            </w:r>
          </w:p>
        </w:tc>
        <w:tc>
          <w:tcPr>
            <w:tcW w:w="4819" w:type="dxa"/>
            <w:gridSpan w:val="2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Academic advice, co-curricular activities, student</w:t>
            </w:r>
          </w:p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competition, and other student support services</w:t>
            </w:r>
          </w:p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are available to improve learning and</w:t>
            </w:r>
          </w:p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employability [4]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81"/>
        </w:trPr>
        <w:tc>
          <w:tcPr>
            <w:tcW w:w="710" w:type="dxa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8.5</w:t>
            </w:r>
          </w:p>
        </w:tc>
        <w:tc>
          <w:tcPr>
            <w:tcW w:w="4819" w:type="dxa"/>
            <w:gridSpan w:val="2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The physical, social and psychological</w:t>
            </w:r>
          </w:p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environment is conducive for education and</w:t>
            </w:r>
          </w:p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research as well as personal well-being [5]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97"/>
        </w:trPr>
        <w:tc>
          <w:tcPr>
            <w:tcW w:w="710" w:type="dxa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  <w:gridSpan w:val="2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ระดับคะแนนในภาพรวม (</w:t>
            </w: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Overall opinion</w:t>
            </w: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75"/>
        </w:trPr>
        <w:tc>
          <w:tcPr>
            <w:tcW w:w="710" w:type="dxa"/>
            <w:shd w:val="clear" w:color="auto" w:fill="FDE9D9" w:themeFill="accent6" w:themeFillTint="33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4819" w:type="dxa"/>
            <w:gridSpan w:val="2"/>
            <w:shd w:val="clear" w:color="auto" w:fill="FDE9D9" w:themeFill="accent6" w:themeFillTint="33"/>
          </w:tcPr>
          <w:p w:rsidR="004B63E9" w:rsidRPr="007C296F" w:rsidRDefault="004B63E9" w:rsidP="00141CF4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Facilities and Infrastructure  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7</w:t>
            </w:r>
          </w:p>
        </w:tc>
      </w:tr>
      <w:tr w:rsidR="004B63E9" w:rsidRPr="007C296F" w:rsidTr="00116CC5">
        <w:trPr>
          <w:trHeight w:val="360"/>
        </w:trPr>
        <w:tc>
          <w:tcPr>
            <w:tcW w:w="710" w:type="dxa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9.1</w:t>
            </w:r>
          </w:p>
        </w:tc>
        <w:tc>
          <w:tcPr>
            <w:tcW w:w="4819" w:type="dxa"/>
            <w:gridSpan w:val="2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The teaching and learning facilities and</w:t>
            </w:r>
          </w:p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equipment (lecture halls, classrooms, project</w:t>
            </w:r>
          </w:p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rooms, etc.) are adequate and updated to support education and research [1]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60"/>
        </w:trPr>
        <w:tc>
          <w:tcPr>
            <w:tcW w:w="710" w:type="dxa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9.2</w:t>
            </w:r>
          </w:p>
        </w:tc>
        <w:tc>
          <w:tcPr>
            <w:tcW w:w="4819" w:type="dxa"/>
            <w:gridSpan w:val="2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The library and its resources are adequate and</w:t>
            </w:r>
          </w:p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 xml:space="preserve">updated to support education and research </w:t>
            </w:r>
            <w:r w:rsidRPr="007C296F">
              <w:rPr>
                <w:rFonts w:ascii="TH Sarabun New" w:hAnsi="TH Sarabun New" w:cs="TH Sarabun New"/>
                <w:sz w:val="28"/>
                <w:szCs w:val="28"/>
              </w:rPr>
              <w:br/>
              <w:t>[3, 4]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60"/>
        </w:trPr>
        <w:tc>
          <w:tcPr>
            <w:tcW w:w="710" w:type="dxa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9.3</w:t>
            </w:r>
          </w:p>
        </w:tc>
        <w:tc>
          <w:tcPr>
            <w:tcW w:w="4819" w:type="dxa"/>
            <w:gridSpan w:val="2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The laboratories and equipment are adequate</w:t>
            </w:r>
          </w:p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and updated to support education and research [1, 2]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60"/>
        </w:trPr>
        <w:tc>
          <w:tcPr>
            <w:tcW w:w="710" w:type="dxa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9.4</w:t>
            </w:r>
          </w:p>
        </w:tc>
        <w:tc>
          <w:tcPr>
            <w:tcW w:w="4819" w:type="dxa"/>
            <w:gridSpan w:val="2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The IT facilities including e-learning infrastructure are adequate and updated to support education and research [1, 5, 6]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60"/>
        </w:trPr>
        <w:tc>
          <w:tcPr>
            <w:tcW w:w="710" w:type="dxa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9.5</w:t>
            </w:r>
          </w:p>
        </w:tc>
        <w:tc>
          <w:tcPr>
            <w:tcW w:w="4819" w:type="dxa"/>
            <w:gridSpan w:val="2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The standards for environment, health and safety; and access for people with special needs are defined and implemented [7]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75"/>
        </w:trPr>
        <w:tc>
          <w:tcPr>
            <w:tcW w:w="710" w:type="dxa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  <w:gridSpan w:val="2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ระดับคะแนนในภาพรวม (</w:t>
            </w: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Overall opinion</w:t>
            </w: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75"/>
        </w:trPr>
        <w:tc>
          <w:tcPr>
            <w:tcW w:w="710" w:type="dxa"/>
            <w:shd w:val="clear" w:color="auto" w:fill="FDE9D9" w:themeFill="accent6" w:themeFillTint="33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819" w:type="dxa"/>
            <w:gridSpan w:val="2"/>
            <w:shd w:val="clear" w:color="auto" w:fill="FDE9D9" w:themeFill="accent6" w:themeFillTint="33"/>
          </w:tcPr>
          <w:p w:rsidR="004B63E9" w:rsidRPr="007C296F" w:rsidRDefault="004B63E9" w:rsidP="00141CF4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</w:rPr>
              <w:t>Quality Enhancement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7</w:t>
            </w:r>
          </w:p>
        </w:tc>
      </w:tr>
      <w:tr w:rsidR="004B63E9" w:rsidRPr="007C296F" w:rsidTr="00116CC5">
        <w:trPr>
          <w:trHeight w:val="360"/>
        </w:trPr>
        <w:tc>
          <w:tcPr>
            <w:tcW w:w="710" w:type="dxa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10.1</w:t>
            </w:r>
          </w:p>
        </w:tc>
        <w:tc>
          <w:tcPr>
            <w:tcW w:w="4819" w:type="dxa"/>
            <w:gridSpan w:val="2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Stakeholders’ needs and feedback serve as input to curriculum design and development [1]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60"/>
        </w:trPr>
        <w:tc>
          <w:tcPr>
            <w:tcW w:w="710" w:type="dxa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10.2</w:t>
            </w:r>
          </w:p>
        </w:tc>
        <w:tc>
          <w:tcPr>
            <w:tcW w:w="4819" w:type="dxa"/>
            <w:gridSpan w:val="2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The curriculum design and development process is established and subjected to evaluation and enhancement [2]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60"/>
        </w:trPr>
        <w:tc>
          <w:tcPr>
            <w:tcW w:w="710" w:type="dxa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10.3</w:t>
            </w:r>
          </w:p>
        </w:tc>
        <w:tc>
          <w:tcPr>
            <w:tcW w:w="4819" w:type="dxa"/>
            <w:gridSpan w:val="2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The teaching and learning processes and student assessment are continuously reviewed and evaluated to ensure their relevance and alignment [3]</w:t>
            </w:r>
          </w:p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60"/>
        </w:trPr>
        <w:tc>
          <w:tcPr>
            <w:tcW w:w="710" w:type="dxa"/>
            <w:shd w:val="clear" w:color="auto" w:fill="FDE9D9" w:themeFill="accent6" w:themeFillTint="33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4819" w:type="dxa"/>
            <w:gridSpan w:val="2"/>
            <w:shd w:val="clear" w:color="auto" w:fill="FDE9D9" w:themeFill="accent6" w:themeFillTint="33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7</w:t>
            </w:r>
          </w:p>
        </w:tc>
      </w:tr>
      <w:tr w:rsidR="004B63E9" w:rsidRPr="007C296F" w:rsidTr="00116CC5">
        <w:trPr>
          <w:trHeight w:val="360"/>
        </w:trPr>
        <w:tc>
          <w:tcPr>
            <w:tcW w:w="710" w:type="dxa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10.4</w:t>
            </w:r>
          </w:p>
        </w:tc>
        <w:tc>
          <w:tcPr>
            <w:tcW w:w="4819" w:type="dxa"/>
            <w:gridSpan w:val="2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Research output is used to enhance teaching and learning [4]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60"/>
        </w:trPr>
        <w:tc>
          <w:tcPr>
            <w:tcW w:w="710" w:type="dxa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10.5</w:t>
            </w:r>
          </w:p>
        </w:tc>
        <w:tc>
          <w:tcPr>
            <w:tcW w:w="4819" w:type="dxa"/>
            <w:gridSpan w:val="2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Quality of support services and facilities (at the library, laboratory, IT facility and student services) is subjected to evaluation and enhancement [5]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75"/>
        </w:trPr>
        <w:tc>
          <w:tcPr>
            <w:tcW w:w="710" w:type="dxa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10.6</w:t>
            </w:r>
          </w:p>
        </w:tc>
        <w:tc>
          <w:tcPr>
            <w:tcW w:w="4819" w:type="dxa"/>
            <w:gridSpan w:val="2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The stakeholder’s feedback mechanisms are</w:t>
            </w:r>
          </w:p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systematic and subjected to evaluation and</w:t>
            </w:r>
          </w:p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enhancement [6]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75"/>
        </w:trPr>
        <w:tc>
          <w:tcPr>
            <w:tcW w:w="710" w:type="dxa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  <w:gridSpan w:val="2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ระดับคะแนนในภาพรวม (</w:t>
            </w: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Overall opinion</w:t>
            </w: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411"/>
        </w:trPr>
        <w:tc>
          <w:tcPr>
            <w:tcW w:w="710" w:type="dxa"/>
            <w:shd w:val="clear" w:color="auto" w:fill="FDE9D9" w:themeFill="accent6" w:themeFillTint="33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819" w:type="dxa"/>
            <w:gridSpan w:val="2"/>
            <w:shd w:val="clear" w:color="auto" w:fill="FDE9D9" w:themeFill="accent6" w:themeFillTint="33"/>
          </w:tcPr>
          <w:p w:rsidR="004B63E9" w:rsidRPr="007C296F" w:rsidRDefault="004B63E9" w:rsidP="00141CF4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Output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B63E9" w:rsidRPr="007C296F" w:rsidRDefault="004B63E9" w:rsidP="0078081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7</w:t>
            </w:r>
          </w:p>
        </w:tc>
      </w:tr>
      <w:tr w:rsidR="004B63E9" w:rsidRPr="007C296F" w:rsidTr="00116CC5">
        <w:trPr>
          <w:trHeight w:val="395"/>
        </w:trPr>
        <w:tc>
          <w:tcPr>
            <w:tcW w:w="710" w:type="dxa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11.1</w:t>
            </w:r>
          </w:p>
        </w:tc>
        <w:tc>
          <w:tcPr>
            <w:tcW w:w="4819" w:type="dxa"/>
            <w:gridSpan w:val="2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The pass rates and dropout rates are established, monitored and benchmarked for improvement [1]</w:t>
            </w: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93490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95"/>
        </w:trPr>
        <w:tc>
          <w:tcPr>
            <w:tcW w:w="710" w:type="dxa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11.2</w:t>
            </w:r>
          </w:p>
        </w:tc>
        <w:tc>
          <w:tcPr>
            <w:tcW w:w="4819" w:type="dxa"/>
            <w:gridSpan w:val="2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The average time to graduate is established,</w:t>
            </w:r>
          </w:p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monitored and benchmarked for improvement [1]</w:t>
            </w: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93490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95"/>
        </w:trPr>
        <w:tc>
          <w:tcPr>
            <w:tcW w:w="710" w:type="dxa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11.3</w:t>
            </w:r>
          </w:p>
        </w:tc>
        <w:tc>
          <w:tcPr>
            <w:tcW w:w="4819" w:type="dxa"/>
            <w:gridSpan w:val="2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Employability of graduates is established,</w:t>
            </w:r>
          </w:p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monitored and benchmarked for improvement [1]</w:t>
            </w: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93490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95"/>
        </w:trPr>
        <w:tc>
          <w:tcPr>
            <w:tcW w:w="710" w:type="dxa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11.4</w:t>
            </w:r>
          </w:p>
        </w:tc>
        <w:tc>
          <w:tcPr>
            <w:tcW w:w="4819" w:type="dxa"/>
            <w:gridSpan w:val="2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The types and quantity of research activities by students are established, monitored and</w:t>
            </w:r>
          </w:p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benchmarked for improvement [2]</w:t>
            </w: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93490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395"/>
        </w:trPr>
        <w:tc>
          <w:tcPr>
            <w:tcW w:w="710" w:type="dxa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11.5</w:t>
            </w:r>
          </w:p>
        </w:tc>
        <w:tc>
          <w:tcPr>
            <w:tcW w:w="4819" w:type="dxa"/>
            <w:gridSpan w:val="2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The satisfaction levels of stakeholders are</w:t>
            </w:r>
          </w:p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established, monitored and benchmarked for</w:t>
            </w:r>
          </w:p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t>improvement [3]</w:t>
            </w: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93490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4B63E9" w:rsidRPr="007C296F" w:rsidTr="00116CC5">
        <w:trPr>
          <w:trHeight w:val="411"/>
        </w:trPr>
        <w:tc>
          <w:tcPr>
            <w:tcW w:w="710" w:type="dxa"/>
          </w:tcPr>
          <w:p w:rsidR="004B63E9" w:rsidRPr="007C296F" w:rsidRDefault="004B63E9" w:rsidP="000854A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  <w:gridSpan w:val="2"/>
          </w:tcPr>
          <w:p w:rsidR="004B63E9" w:rsidRPr="007C296F" w:rsidRDefault="004B63E9" w:rsidP="007808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ระดับคะแนนในภาพรวม (</w:t>
            </w: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Overall opinion</w:t>
            </w: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93490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C296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B63E9" w:rsidRPr="007C296F" w:rsidRDefault="004B63E9" w:rsidP="00390E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</w:tbl>
    <w:p w:rsidR="008416A2" w:rsidRPr="007C296F" w:rsidRDefault="008416A2" w:rsidP="007C296F">
      <w:pPr>
        <w:autoSpaceDE w:val="0"/>
        <w:autoSpaceDN w:val="0"/>
        <w:adjustRightInd w:val="0"/>
        <w:spacing w:before="240" w:after="0" w:line="240" w:lineRule="auto"/>
        <w:rPr>
          <w:rFonts w:ascii="TH Sarabun New" w:hAnsi="TH Sarabun New" w:cs="TH Sarabun New"/>
          <w:b/>
          <w:bCs/>
          <w:sz w:val="28"/>
          <w:szCs w:val="28"/>
          <w:cs/>
        </w:rPr>
      </w:pPr>
    </w:p>
    <w:sectPr w:rsidR="008416A2" w:rsidRPr="007C296F" w:rsidSect="009B4A3F">
      <w:footerReference w:type="default" r:id="rId8"/>
      <w:pgSz w:w="11909" w:h="16834" w:code="9"/>
      <w:pgMar w:top="1440" w:right="1440" w:bottom="1440" w:left="1440" w:header="720" w:footer="98" w:gutter="0"/>
      <w:pgNumType w:start="90"/>
      <w:cols w:space="720"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2A8" w:rsidRDefault="00EF42A8" w:rsidP="00733A2D">
      <w:pPr>
        <w:spacing w:after="0" w:line="240" w:lineRule="auto"/>
      </w:pPr>
      <w:r>
        <w:separator/>
      </w:r>
    </w:p>
  </w:endnote>
  <w:endnote w:type="continuationSeparator" w:id="0">
    <w:p w:rsidR="00EF42A8" w:rsidRDefault="00EF42A8" w:rsidP="00733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60594"/>
      <w:docPartObj>
        <w:docPartGallery w:val="Page Numbers (Bottom of Page)"/>
        <w:docPartUnique/>
      </w:docPartObj>
    </w:sdtPr>
    <w:sdtEndPr>
      <w:rPr>
        <w:rFonts w:ascii="TH Sarabun New" w:hAnsi="TH Sarabun New" w:cs="TH Sarabun New"/>
        <w:sz w:val="28"/>
        <w:szCs w:val="28"/>
      </w:rPr>
    </w:sdtEndPr>
    <w:sdtContent>
      <w:p w:rsidR="00225C66" w:rsidRDefault="00967444">
        <w:pPr>
          <w:pStyle w:val="Footer"/>
          <w:jc w:val="center"/>
        </w:pPr>
        <w:r w:rsidRPr="008C44E5">
          <w:rPr>
            <w:rFonts w:ascii="TH Sarabun New" w:hAnsi="TH Sarabun New" w:cs="TH Sarabun New"/>
            <w:sz w:val="28"/>
            <w:szCs w:val="28"/>
          </w:rPr>
          <w:fldChar w:fldCharType="begin"/>
        </w:r>
        <w:r w:rsidR="00BB41F9" w:rsidRPr="008C44E5">
          <w:rPr>
            <w:rFonts w:ascii="TH Sarabun New" w:hAnsi="TH Sarabun New" w:cs="TH Sarabun New"/>
            <w:sz w:val="28"/>
            <w:szCs w:val="28"/>
          </w:rPr>
          <w:instrText xml:space="preserve"> PAGE   \* MERGEFORMAT </w:instrText>
        </w:r>
        <w:r w:rsidRPr="008C44E5">
          <w:rPr>
            <w:rFonts w:ascii="TH Sarabun New" w:hAnsi="TH Sarabun New" w:cs="TH Sarabun New"/>
            <w:sz w:val="28"/>
            <w:szCs w:val="28"/>
          </w:rPr>
          <w:fldChar w:fldCharType="separate"/>
        </w:r>
        <w:r w:rsidR="009B4A3F">
          <w:rPr>
            <w:rFonts w:ascii="TH Sarabun New" w:hAnsi="TH Sarabun New" w:cs="TH Sarabun New"/>
            <w:noProof/>
            <w:sz w:val="28"/>
            <w:szCs w:val="28"/>
          </w:rPr>
          <w:t>90</w:t>
        </w:r>
        <w:r w:rsidRPr="008C44E5">
          <w:rPr>
            <w:rFonts w:ascii="TH Sarabun New" w:hAnsi="TH Sarabun New" w:cs="TH Sarabun New"/>
            <w:sz w:val="28"/>
            <w:szCs w:val="28"/>
          </w:rPr>
          <w:fldChar w:fldCharType="end"/>
        </w:r>
      </w:p>
    </w:sdtContent>
  </w:sdt>
  <w:p w:rsidR="00733A2D" w:rsidRDefault="00733A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2A8" w:rsidRDefault="00EF42A8" w:rsidP="00733A2D">
      <w:pPr>
        <w:spacing w:after="0" w:line="240" w:lineRule="auto"/>
      </w:pPr>
      <w:r>
        <w:separator/>
      </w:r>
    </w:p>
  </w:footnote>
  <w:footnote w:type="continuationSeparator" w:id="0">
    <w:p w:rsidR="00EF42A8" w:rsidRDefault="00EF42A8" w:rsidP="00733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913AD"/>
    <w:multiLevelType w:val="hybridMultilevel"/>
    <w:tmpl w:val="2318AAF2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SortMethod w:val="0000"/>
  <w:defaultTabStop w:val="720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AB7D46"/>
    <w:rsid w:val="00031C98"/>
    <w:rsid w:val="000854AB"/>
    <w:rsid w:val="000B37D7"/>
    <w:rsid w:val="00116CC5"/>
    <w:rsid w:val="00130A84"/>
    <w:rsid w:val="0013184C"/>
    <w:rsid w:val="001371A9"/>
    <w:rsid w:val="00141CF4"/>
    <w:rsid w:val="00147B01"/>
    <w:rsid w:val="00163DA1"/>
    <w:rsid w:val="001C4412"/>
    <w:rsid w:val="00225C66"/>
    <w:rsid w:val="002627D2"/>
    <w:rsid w:val="002B0A39"/>
    <w:rsid w:val="002B7ED3"/>
    <w:rsid w:val="00414B8F"/>
    <w:rsid w:val="0047315E"/>
    <w:rsid w:val="004A1B85"/>
    <w:rsid w:val="004B4210"/>
    <w:rsid w:val="004B63E9"/>
    <w:rsid w:val="00516CE4"/>
    <w:rsid w:val="0053347A"/>
    <w:rsid w:val="0054590C"/>
    <w:rsid w:val="00684FE7"/>
    <w:rsid w:val="006E19B8"/>
    <w:rsid w:val="007061B7"/>
    <w:rsid w:val="00733A2D"/>
    <w:rsid w:val="007A5896"/>
    <w:rsid w:val="007C296F"/>
    <w:rsid w:val="007D1607"/>
    <w:rsid w:val="008025C5"/>
    <w:rsid w:val="00832344"/>
    <w:rsid w:val="008416A2"/>
    <w:rsid w:val="00873711"/>
    <w:rsid w:val="00874904"/>
    <w:rsid w:val="008C44E5"/>
    <w:rsid w:val="008C794E"/>
    <w:rsid w:val="008D7357"/>
    <w:rsid w:val="008E1B1A"/>
    <w:rsid w:val="008E2389"/>
    <w:rsid w:val="009004BB"/>
    <w:rsid w:val="00942450"/>
    <w:rsid w:val="00967444"/>
    <w:rsid w:val="009B4A3F"/>
    <w:rsid w:val="00A03197"/>
    <w:rsid w:val="00A059D6"/>
    <w:rsid w:val="00A8749F"/>
    <w:rsid w:val="00AB7D46"/>
    <w:rsid w:val="00AD32C2"/>
    <w:rsid w:val="00B318FA"/>
    <w:rsid w:val="00B95FD8"/>
    <w:rsid w:val="00BB41F9"/>
    <w:rsid w:val="00BD5A0E"/>
    <w:rsid w:val="00C2608F"/>
    <w:rsid w:val="00C563F0"/>
    <w:rsid w:val="00C92411"/>
    <w:rsid w:val="00CA4CCF"/>
    <w:rsid w:val="00D00406"/>
    <w:rsid w:val="00D459F8"/>
    <w:rsid w:val="00D572AF"/>
    <w:rsid w:val="00DE48AF"/>
    <w:rsid w:val="00E577C5"/>
    <w:rsid w:val="00E83DED"/>
    <w:rsid w:val="00EB45E7"/>
    <w:rsid w:val="00EF42A8"/>
    <w:rsid w:val="00F37C0C"/>
    <w:rsid w:val="00F52547"/>
    <w:rsid w:val="00F9265A"/>
    <w:rsid w:val="00FC6AA4"/>
    <w:rsid w:val="00FD0128"/>
    <w:rsid w:val="00FF0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1A9"/>
    <w:pPr>
      <w:spacing w:after="200" w:line="276" w:lineRule="auto"/>
    </w:pPr>
    <w:rPr>
      <w:rFonts w:ascii="Angsana New" w:hAnsi="Angsana New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autoRedefine/>
    <w:uiPriority w:val="9"/>
    <w:rsid w:val="00147B01"/>
    <w:pPr>
      <w:keepNext/>
      <w:keepLines/>
      <w:spacing w:before="240" w:after="240"/>
      <w:jc w:val="center"/>
      <w:outlineLvl w:val="0"/>
    </w:pPr>
    <w:rPr>
      <w:rFonts w:eastAsiaTheme="majorEastAsia"/>
      <w:b/>
      <w:bCs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FC6AA4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7B01"/>
    <w:rPr>
      <w:rFonts w:ascii="Angsana New" w:eastAsiaTheme="majorEastAsia" w:hAnsi="Angsana New" w:cs="Angsana New"/>
      <w:b/>
      <w:bCs/>
      <w:sz w:val="32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C6AA4"/>
    <w:rPr>
      <w:rFonts w:ascii="Angsana New" w:eastAsiaTheme="majorEastAsia" w:hAnsi="Angsana New" w:cstheme="majorBidi"/>
      <w:b/>
      <w:bCs/>
      <w:sz w:val="26"/>
      <w:szCs w:val="33"/>
    </w:rPr>
  </w:style>
  <w:style w:type="table" w:styleId="TableGrid">
    <w:name w:val="Table Grid"/>
    <w:basedOn w:val="TableNormal"/>
    <w:rsid w:val="00AB7D4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371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371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2B7ED3"/>
    <w:pPr>
      <w:ind w:left="720"/>
      <w:contextualSpacing/>
    </w:pPr>
    <w:rPr>
      <w:rFonts w:cs="Angsana New"/>
      <w:szCs w:val="40"/>
    </w:rPr>
  </w:style>
  <w:style w:type="paragraph" w:styleId="Header">
    <w:name w:val="header"/>
    <w:basedOn w:val="Normal"/>
    <w:link w:val="HeaderChar"/>
    <w:uiPriority w:val="99"/>
    <w:semiHidden/>
    <w:unhideWhenUsed/>
    <w:rsid w:val="00733A2D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33A2D"/>
    <w:rPr>
      <w:rFonts w:ascii="Angsana New" w:hAnsi="Angsan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733A2D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733A2D"/>
    <w:rPr>
      <w:rFonts w:ascii="Angsana New" w:hAnsi="Angsana New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1941A-0700-48B6-AC82-B3947D4CB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</dc:creator>
  <cp:keywords/>
  <dc:description/>
  <cp:lastModifiedBy>cs</cp:lastModifiedBy>
  <cp:revision>19</cp:revision>
  <cp:lastPrinted>2018-09-12T08:27:00Z</cp:lastPrinted>
  <dcterms:created xsi:type="dcterms:W3CDTF">2016-02-09T03:33:00Z</dcterms:created>
  <dcterms:modified xsi:type="dcterms:W3CDTF">2018-09-12T08:30:00Z</dcterms:modified>
</cp:coreProperties>
</file>